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6. КОЛИЧЕСТВЕННЫЙ АНАЛИЗ РИСКОВ: СТАТИСТИЧЕСКИЕ МЕТОДЫ, АНАЛИЗ ЧУВСТВИТЕЛЬНОСТИ И МОДЕЛИРОВАНИЕ МОНТЕ-Карло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Переход от качественной оценки к точным математическим моделям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этапе качественной оценки (Лекция 5) риски компании ранжируются с помощью матриц и экспертных баллов. Это позволяет выявить критические зоны, однако качественные методы не дают ответа на главные вопросы собственников и инвесторов: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«Каковы будут точные финансовые потери в денежном выражении?»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«Какова вероятность того, что проект уйдет в минус?»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или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«Какой объем капитала необходимо зарезервировать?»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Количественный анализ рисков (Quantitative Risk Analysis)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процесс численного измерения вероятности наступления рисковых событий и их влияния на цели организации с использованием статистических, математических и вероятностных моделей.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Главные цели количественного анализа: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Точная стоимостная оценка: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Определение возможных финансовых потерь или недополученной прибыли в абсолютных величинах (в валюте).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Вероятностное прогнозирование: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Расчет распределения вероятностей достижения ключевых финансовых показателей (например, чистой приведенной стоимости проекта — NPV).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Оптимизация резервов: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Расчет необходимого размера финансовых буферов (резервного капитала) для покрытия непредвиденных убытков.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Сравнение альтернатив: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Выбор между инвестиционными проектами или стратегиями на основе соотношения риск/доходность.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Статистические основы количественного анализа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основе любых количественных расчетов лежат базовые инструменты математической статистики и теории вероятностей.</w:t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2.1. Ожидаемое значение (Mathematical Expectation / Mean)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Ожидаемое значение (</w:t>
      </w:r>
      <m:oMath>
        <m:r>
          <w:rPr>
            <w:rFonts w:ascii="Arial" w:cs="Arial" w:eastAsia="Arial" w:hAnsi="Arial"/>
            <w:color w:val="1f1f1f"/>
          </w:rPr>
          <m:t xml:space="preserve">E[X]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или </w:t>
      </w:r>
      <m:oMath>
        <m:r>
          <m:t>μ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представляет собой средневзвешенный результат всех возможных исходов, где каждый исход умножается на вероятность его наступления: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m:t>μ</m:t>
        </m:r>
        <m:r>
          <w:rPr>
            <w:rFonts w:ascii="Arial" w:cs="Arial" w:eastAsia="Arial" w:hAnsi="Arial"/>
            <w:color w:val="1f1f1f"/>
          </w:rPr>
          <m:t xml:space="preserve">=</m:t>
        </m:r>
        <m:nary>
          <m:naryPr>
            <m:chr m:val="∑"/>
            <m:ctrlPr>
              <w:rPr>
                <w:rFonts w:ascii="Arial" w:cs="Arial" w:eastAsia="Arial" w:hAnsi="Arial"/>
                <w:color w:val="1f1f1f"/>
              </w:rPr>
            </m:ctrlPr>
          </m:naryPr>
          <m:sub>
            <m:r>
              <w:rPr>
                <w:rFonts w:ascii="Arial" w:cs="Arial" w:eastAsia="Arial" w:hAnsi="Arial"/>
                <w:color w:val="1f1f1f"/>
              </w:rPr>
              <m:t xml:space="preserve">i=1</m:t>
            </m:r>
          </m:sub>
          <m:sup>
            <m:r>
              <w:rPr>
                <w:rFonts w:ascii="Arial" w:cs="Arial" w:eastAsia="Arial" w:hAnsi="Arial"/>
                <w:color w:val="1f1f1f"/>
              </w:rPr>
              <m:t xml:space="preserve">n</m:t>
            </m:r>
          </m:sup>
        </m:nary>
        <m:r>
          <w:rPr>
            <w:rFonts w:ascii="Arial" w:cs="Arial" w:eastAsia="Arial" w:hAnsi="Arial"/>
            <w:color w:val="1f1f1f"/>
          </w:rPr>
          <m:t xml:space="preserve">(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x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  <m:r>
          <w:rPr>
            <w:rFonts w:ascii="Arial" w:cs="Arial" w:eastAsia="Arial" w:hAnsi="Arial"/>
            <w:color w:val="1f1f1f"/>
          </w:rPr>
          <m:t>⋅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  <m:r>
          <w:rPr>
            <w:rFonts w:ascii="Arial" w:cs="Arial" w:eastAsia="Arial" w:hAnsi="Arial"/>
            <w:color w:val="1f1f1f"/>
          </w:rPr>
          <m:t xml:space="preserve">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где </w:t>
      </w:r>
      <m:oMath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x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финансовый результат (убыток или прибыль) при сценарии </w:t>
      </w:r>
      <m:oMath>
        <m:r>
          <w:rPr>
            <w:rFonts w:ascii="Arial" w:cs="Arial" w:eastAsia="Arial" w:hAnsi="Arial"/>
            <w:color w:val="1f1f1f"/>
          </w:rPr>
          <m:t xml:space="preserve">i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а </w:t>
      </w:r>
      <m:oMath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вероятность этого сценария (</w:t>
      </w:r>
      <m:oMath>
        <m:nary>
          <m:naryPr>
            <m:chr m:val="∑"/>
          </m:naryPr>
          <m:sub/>
          <m:sup/>
        </m:nary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  <m:r>
          <w:rPr>
            <w:rFonts w:ascii="Arial" w:cs="Arial" w:eastAsia="Arial" w:hAnsi="Arial"/>
            <w:color w:val="1f1f1f"/>
          </w:rPr>
          <m:t xml:space="preserve">=1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1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2.2. Дисперсия и стандартное отклонение (Standard Deviation)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Ожидаемое значение само по себе не отражает риск. Для измерения степени разброса возможных результатов вокруг среднего значения используют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дисперсию (</w:t>
      </w:r>
      <m:oMath>
        <m:sSup>
          <m:sSupPr>
            <m:ctrlPr>
              <w:rPr>
                <w:rFonts w:ascii="Arial" w:cs="Arial" w:eastAsia="Arial" w:hAnsi="Arial"/>
                <w:b w:val="1"/>
                <w:bCs w:val="1"/>
                <w:color w:val="1f1f1f"/>
              </w:rPr>
            </m:ctrlPr>
          </m:sSupPr>
          <m:e>
            <m:r>
              <m:t>σ</m:t>
            </m:r>
          </m:e>
          <m:sup>
            <m:r>
              <w:rPr>
                <w:rFonts w:ascii="Arial" w:cs="Arial" w:eastAsia="Arial" w:hAnsi="Arial"/>
                <w:b w:val="1"/>
                <w:bCs w:val="1"/>
                <w:color w:val="1f1f1f"/>
              </w:rPr>
              <m:t xml:space="preserve">2</m:t>
            </m:r>
          </m:sup>
        </m:sSup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стандартное отклонение (</w:t>
      </w:r>
      <m:oMath>
        <m:r>
          <m:t>σ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sSup>
          <m:sSupPr>
            <m:ctrlPr>
              <w:rPr>
                <w:rFonts w:ascii="Arial" w:cs="Arial" w:eastAsia="Arial" w:hAnsi="Arial"/>
                <w:color w:val="1f1f1f"/>
              </w:rPr>
            </m:ctrlPr>
          </m:sSupPr>
          <m:e>
            <m:r>
              <m:t>σ</m:t>
            </m:r>
          </m:e>
          <m:sup>
            <m:r>
              <w:rPr>
                <w:rFonts w:ascii="Arial" w:cs="Arial" w:eastAsia="Arial" w:hAnsi="Arial"/>
                <w:color w:val="1f1f1f"/>
              </w:rPr>
              <m:t xml:space="preserve">2</m:t>
            </m:r>
          </m:sup>
        </m:sSup>
        <m:r>
          <w:rPr>
            <w:rFonts w:ascii="Arial" w:cs="Arial" w:eastAsia="Arial" w:hAnsi="Arial"/>
            <w:color w:val="1f1f1f"/>
          </w:rPr>
          <m:t xml:space="preserve">=</m:t>
        </m:r>
        <m:nary>
          <m:naryPr>
            <m:chr m:val="∑"/>
            <m:ctrlPr>
              <w:rPr>
                <w:rFonts w:ascii="Arial" w:cs="Arial" w:eastAsia="Arial" w:hAnsi="Arial"/>
                <w:color w:val="1f1f1f"/>
              </w:rPr>
            </m:ctrlPr>
          </m:naryPr>
          <m:sub>
            <m:r>
              <w:rPr>
                <w:rFonts w:ascii="Arial" w:cs="Arial" w:eastAsia="Arial" w:hAnsi="Arial"/>
                <w:color w:val="1f1f1f"/>
              </w:rPr>
              <m:t xml:space="preserve">i=1</m:t>
            </m:r>
          </m:sub>
          <m:sup>
            <m:r>
              <w:rPr>
                <w:rFonts w:ascii="Arial" w:cs="Arial" w:eastAsia="Arial" w:hAnsi="Arial"/>
                <w:color w:val="1f1f1f"/>
              </w:rPr>
              <m:t xml:space="preserve">n</m:t>
            </m:r>
          </m:sup>
        </m:nary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  <m:r>
          <w:rPr>
            <w:rFonts w:ascii="Arial" w:cs="Arial" w:eastAsia="Arial" w:hAnsi="Arial"/>
            <w:color w:val="1f1f1f"/>
          </w:rPr>
          <m:t>⋅</m:t>
        </m:r>
        <m:r>
          <w:rPr>
            <w:rFonts w:ascii="Arial" w:cs="Arial" w:eastAsia="Arial" w:hAnsi="Arial"/>
            <w:color w:val="1f1f1f"/>
          </w:rPr>
          <m:t xml:space="preserve">(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x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i</m:t>
            </m:r>
          </m:sub>
        </m:sSub>
        <m:r>
          <w:rPr>
            <w:rFonts w:ascii="Arial" w:cs="Arial" w:eastAsia="Arial" w:hAnsi="Arial"/>
            <w:color w:val="1f1f1f"/>
          </w:rPr>
          <m:t xml:space="preserve">-</m:t>
        </m:r>
        <m:r>
          <w:rPr>
            <w:rFonts w:ascii="Arial" w:cs="Arial" w:eastAsia="Arial" w:hAnsi="Arial"/>
            <w:color w:val="1f1f1f"/>
          </w:rPr>
          <m:t>μ</m:t>
        </m:r>
        <m:sSup>
          <m:sSupPr>
            <m:ctrlPr>
              <w:rPr>
                <w:rFonts w:ascii="Arial" w:cs="Arial" w:eastAsia="Arial" w:hAnsi="Arial"/>
                <w:color w:val="1f1f1f"/>
              </w:rPr>
            </m:ctrlPr>
          </m:sSupPr>
          <m:e>
            <m:r>
              <w:rPr>
                <w:rFonts w:ascii="Arial" w:cs="Arial" w:eastAsia="Arial" w:hAnsi="Arial"/>
                <w:color w:val="1f1f1f"/>
              </w:rPr>
              <m:t xml:space="preserve">)</m:t>
            </m:r>
          </m:e>
          <m:sup>
            <m:r>
              <w:rPr>
                <w:rFonts w:ascii="Arial" w:cs="Arial" w:eastAsia="Arial" w:hAnsi="Arial"/>
                <w:color w:val="1f1f1f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m:t>σ</m:t>
        </m:r>
        <m:r>
          <w:rPr>
            <w:rFonts w:ascii="Arial" w:cs="Arial" w:eastAsia="Arial" w:hAnsi="Arial"/>
            <w:color w:val="1f1f1f"/>
          </w:rPr>
          <m:t xml:space="preserve">=</m:t>
        </m:r>
        <m:rad>
          <m:radPr>
            <m:degHide m:val="1"/>
            <m:ctrlPr>
              <w:rPr>
                <w:rFonts w:ascii="Arial" w:cs="Arial" w:eastAsia="Arial" w:hAnsi="Arial"/>
                <w:color w:val="1f1f1f"/>
              </w:rPr>
            </m:ctrlPr>
          </m:radPr>
          <m:e>
            <m:sSup>
              <m:sSupPr>
                <m:ctrlPr>
                  <w:rPr>
                    <w:rFonts w:ascii="Arial" w:cs="Arial" w:eastAsia="Arial" w:hAnsi="Arial"/>
                    <w:color w:val="1f1f1f"/>
                  </w:rPr>
                </m:ctrlPr>
              </m:sSupPr>
              <m:e>
                <m:r>
                  <w:rPr>
                    <w:rFonts w:ascii="Arial" w:cs="Arial" w:eastAsia="Arial" w:hAnsi="Arial"/>
                    <w:color w:val="1f1f1f"/>
                  </w:rPr>
                  <m:t>σ</m:t>
                </m:r>
              </m:e>
              <m:sup>
                <m:r>
                  <w:rPr>
                    <w:rFonts w:ascii="Arial" w:cs="Arial" w:eastAsia="Arial" w:hAnsi="Arial"/>
                    <w:color w:val="1f1f1f"/>
                  </w:rPr>
                  <m:t xml:space="preserve">2</m:t>
                </m:r>
              </m:sup>
            </m:sSup>
          </m:e>
        </m:rad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Чем выше стандартное отклонение (</w:t>
      </w:r>
      <m:oMath>
        <m:r>
          <m:t>σ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),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тем шире разброс возможных исходов, выше волатильность и, соответственно, выше уровень риска.</w:t>
      </w:r>
    </w:p>
    <w:p w:rsidR="00000000" w:rsidDel="00000000" w:rsidP="00000000" w:rsidRDefault="00000000" w:rsidRPr="00000000" w14:paraId="0000001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2.3. Коэффициент вариации (Coefficient of Variation — CV)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Когда необходимо сравнить рискованность проектов с разной масштабностью доходов, стандартное отклонение использовать некорректно. Применяют безразмерный показатель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коэффициента вариации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CV=</m:t>
        </m:r>
        <m:f>
          <m:fPr>
            <m:ctrlPr>
              <w:rPr>
                <w:rFonts w:ascii="Arial" w:cs="Arial" w:eastAsia="Arial" w:hAnsi="Arial"/>
                <w:color w:val="1f1f1f"/>
              </w:rPr>
            </m:ctrlPr>
          </m:fPr>
          <m:num>
            <m:r>
              <w:rPr>
                <w:rFonts w:ascii="Arial" w:cs="Arial" w:eastAsia="Arial" w:hAnsi="Arial"/>
                <w:color w:val="1f1f1f"/>
              </w:rPr>
              <m:t>σ</m:t>
            </m:r>
          </m:num>
          <m:den>
            <m:r>
              <w:rPr>
                <w:rFonts w:ascii="Arial" w:cs="Arial" w:eastAsia="Arial" w:hAnsi="Arial"/>
                <w:color w:val="1f1f1f"/>
              </w:rPr>
              <m:t>μ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Он показывает уровень риска на единицу ожидаемого дохода.</w:t>
      </w:r>
    </w:p>
    <w:p w:rsidR="00000000" w:rsidDel="00000000" w:rsidP="00000000" w:rsidRDefault="00000000" w:rsidRPr="00000000" w14:paraId="0000002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Анализ чувствительности (Sensitivity Analysis)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чувствительности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детерминированный метод количественного анализа, который показывает, как сильно изменится итоговый результат проекта (например, чистая приведенная стоимость — NPV) при изменении одного из входных параметров (цена продажи, объем продаж, стоимость сырья, ставка дисконтирования), при условии, что остальные параметры остаются неизменными.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3.1. Алгоритм проведения анализа чувствительности: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Определяется базовый финансовый показатель (целевая функция), например, </w:t>
      </w:r>
      <m:oMath>
        <m:r>
          <w:rPr>
            <w:rFonts w:ascii="Arial" w:cs="Arial" w:eastAsia="Arial" w:hAnsi="Arial"/>
            <w:color w:val="1f1f1f"/>
          </w:rPr>
          <m:t xml:space="preserve">NPV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Выбираются ключевые драйверы риска (переменные модели).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Каждый драйвер по очереди варьируется в заданном диапазоне (например, от $-20\%$ до $+20\%$), в то время как остальные фиксируются на базовом уровне.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Рассчитывается новое значение целевого показателя для каждого отклонения.</w:t>
      </w:r>
    </w:p>
    <w:p w:rsidR="00000000" w:rsidDel="00000000" w:rsidP="00000000" w:rsidRDefault="00000000" w:rsidRPr="00000000" w14:paraId="0000002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3.2. Диаграмма «Торнадо» (Tornado Chart)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Результаты анализа чувствительности визуализируются с помощью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диаграммы «Торнадо»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которая названа так из-за характерной формы: самые «широкие» (чувствительные) факторы располагаются вверху, сужаясь к низу.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Влияние факторов на показатель NPV (тыс. долл.)</w:t>
        <w:br w:type="textWrapping"/>
        <w:t xml:space="preserve">  -30%                     0                      +30%</w:t>
        <w:br w:type="textWrapping"/>
        <w:t xml:space="preserve">   [------------------------|------------------------] Объем продаж (units)</w:t>
        <w:br w:type="textWrapping"/>
        <w:t xml:space="preserve">             [--------------|--------------] Переменные издержки</w:t>
        <w:br w:type="textWrapping"/>
        <w:t xml:space="preserve">                       [----|----] Цена единицы продукции</w:t>
        <w:br w:type="textWrapping"/>
        <w:t xml:space="preserve">                            [--] Ставка дисконтирования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Практическая польза: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Анализ чувствительности позволяет менеджменту мгновенно увидеть, на каких именно факторах риска нужно сконцентрировать контрольные усилия в первую очередь.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Анализ сценариев (Scenario Analysis)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отличие от анализа чувствительности, который меняет параметры поодиночке,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сценариев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позволяет оценить одновременное изменение комплекса факторов при реализации конкретного макроэкономического или отраслевого сюжета.</w:t>
      </w:r>
    </w:p>
    <w:p w:rsidR="00000000" w:rsidDel="00000000" w:rsidP="00000000" w:rsidRDefault="00000000" w:rsidRPr="00000000" w14:paraId="0000003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Классический набор из трех сценариев: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Базовый сценарий (Most Likely Scenario):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Отражает наиболее вероятное развитие событий на основе текущих трендов.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Оптимистичный сценарий (Best Case Scenario):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Благоприятное стечение обстоятельств (рост спроса, снижение цен на сырье, рост рыночной доли).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Пессимистичный сценарий (Worst Case Scenario / Стресс-тест):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Реализация негативных рисков (кризис, падение спроса, скачок инфляции, ужесточение санкций).</w:t>
      </w:r>
    </w:p>
    <w:p w:rsidR="00000000" w:rsidDel="00000000" w:rsidP="00000000" w:rsidRDefault="00000000" w:rsidRPr="00000000" w14:paraId="0000003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Оценка интегрального показателя риска: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каждого сценария рассчитывается значение </w:t>
      </w:r>
      <m:oMath>
        <m:r>
          <w:rPr>
            <w:rFonts w:ascii="Arial" w:cs="Arial" w:eastAsia="Arial" w:hAnsi="Arial"/>
            <w:color w:val="1f1f1f"/>
          </w:rPr>
          <m:t xml:space="preserve">NPV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после чего определяется математическое ожидание с учетом субъективных вероятностей сценариев (</w:t>
      </w:r>
      <m:oMath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баз</m:t>
            </m:r>
          </m:sub>
        </m:sSub>
        <m:r>
          <w:rPr>
            <w:rFonts w:ascii="Arial" w:cs="Arial" w:eastAsia="Arial" w:hAnsi="Arial"/>
            <w:color w:val="1f1f1f"/>
          </w:rPr>
          <m:t xml:space="preserve">,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опт</m:t>
            </m:r>
          </m:sub>
        </m:sSub>
        <m:r>
          <w:rPr>
            <w:rFonts w:ascii="Arial" w:cs="Arial" w:eastAsia="Arial" w:hAnsi="Arial"/>
            <w:color w:val="1f1f1f"/>
          </w:rPr>
          <m:t xml:space="preserve">,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песс</m:t>
            </m:r>
          </m:sub>
        </m:sSub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):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E[NPV]=(NP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V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опт</m:t>
            </m:r>
          </m:sub>
        </m:sSub>
        <m:r>
          <w:rPr>
            <w:rFonts w:ascii="Arial" w:cs="Arial" w:eastAsia="Arial" w:hAnsi="Arial"/>
            <w:color w:val="1f1f1f"/>
          </w:rPr>
          <m:t>⋅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опт</m:t>
            </m:r>
          </m:sub>
        </m:sSub>
        <m:r>
          <w:rPr>
            <w:rFonts w:ascii="Arial" w:cs="Arial" w:eastAsia="Arial" w:hAnsi="Arial"/>
            <w:color w:val="1f1f1f"/>
          </w:rPr>
          <m:t xml:space="preserve">)+(NP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V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баз</m:t>
            </m:r>
          </m:sub>
        </m:sSub>
        <m:r>
          <w:rPr>
            <w:rFonts w:ascii="Arial" w:cs="Arial" w:eastAsia="Arial" w:hAnsi="Arial"/>
            <w:color w:val="1f1f1f"/>
          </w:rPr>
          <m:t>⋅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баз</m:t>
            </m:r>
          </m:sub>
        </m:sSub>
        <m:r>
          <w:rPr>
            <w:rFonts w:ascii="Arial" w:cs="Arial" w:eastAsia="Arial" w:hAnsi="Arial"/>
            <w:color w:val="1f1f1f"/>
          </w:rPr>
          <m:t xml:space="preserve">)+(NP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V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песс</m:t>
            </m:r>
          </m:sub>
        </m:sSub>
        <m:r>
          <w:rPr>
            <w:rFonts w:ascii="Arial" w:cs="Arial" w:eastAsia="Arial" w:hAnsi="Arial"/>
            <w:color w:val="1f1f1f"/>
          </w:rPr>
          <m:t>⋅</m:t>
        </m:r>
        <m:sSub>
          <m:sSubPr>
            <m:ctrlPr>
              <w:rPr>
                <w:rFonts w:ascii="Arial" w:cs="Arial" w:eastAsia="Arial" w:hAnsi="Arial"/>
                <w:color w:val="1f1f1f"/>
              </w:rPr>
            </m:ctrlPr>
          </m:sSubPr>
          <m:e>
            <m:r>
              <w:rPr>
                <w:rFonts w:ascii="Arial" w:cs="Arial" w:eastAsia="Arial" w:hAnsi="Arial"/>
                <w:color w:val="1f1f1f"/>
              </w:rPr>
              <m:t xml:space="preserve">p</m:t>
            </m:r>
          </m:e>
          <m:sub>
            <m:r>
              <w:rPr>
                <w:rFonts w:ascii="Arial" w:cs="Arial" w:eastAsia="Arial" w:hAnsi="Arial"/>
                <w:color w:val="1f1f1f"/>
              </w:rPr>
              <m:t xml:space="preserve">песс</m:t>
            </m:r>
          </m:sub>
        </m:sSub>
        <m:r>
          <w:rPr>
            <w:rFonts w:ascii="Arial" w:cs="Arial" w:eastAsia="Arial" w:hAnsi="Arial"/>
            <w:color w:val="1f1f1f"/>
          </w:rPr>
          <m:t xml:space="preserve">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Имитационное моделирование методом Монте-Карло (Monte Carlo Simulation)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Когда число переменных велико, а их взаимосвязи нелинейны, классический анализ сценариев становится громоздким. В этом случае применяется золотой стандарт современного количественного риск-менеджмента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моделирование методом Монте-Карло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5.1. Суть метода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Метод Монте-Карло — это математический метод, основанный на многократной генерации случайных чисел для моделирования поведения сложной системы.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Вместо того чтобы подставлять в финансовую модель фиксированные средние значения, риск-менеджер задает для каждого ключевого фактора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закон распределения вероятностей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(нормальное распределение, треугольное, равномерное).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[ Распределение цен ] -------\</w:t>
        <w:br w:type="textWrapping"/>
        <w:t xml:space="preserve">                                       v</w:t>
        <w:br w:type="textWrapping"/>
        <w:t xml:space="preserve">         [ Распределение объемов ] ---&gt; [ Модель расчета NPV ] ---&gt; [ Распределение результатов ]</w:t>
        <w:br w:type="textWrapping"/>
        <w:t xml:space="preserve">                                       ^                             (Тысячи итераций)</w:t>
        <w:br w:type="textWrapping"/>
        <w:t xml:space="preserve">         [ Распределение издержек] ---/</w:t>
        <w:br w:type="textWrapping"/>
      </w:r>
    </w:p>
    <w:p w:rsidR="00000000" w:rsidDel="00000000" w:rsidP="00000000" w:rsidRDefault="00000000" w:rsidRPr="00000000" w14:paraId="0000004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5.2. Этапы проведения симуляции Монте-Карло: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Построение математической модели: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Задается целевой показатель (например, </w:t>
      </w:r>
      <m:oMath>
        <m:r>
          <w:rPr>
            <w:rFonts w:ascii="Arial" w:cs="Arial" w:eastAsia="Arial" w:hAnsi="Arial"/>
            <w:color w:val="1f1f1f"/>
          </w:rPr>
          <m:t xml:space="preserve">NPV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как функция от цены, объема, издержек и инвестиций).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Задание законов распределения: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Для каждого фактора риска экспертно или по историческим данным задается диапазон (минимум, максимум, наиболее вероятное значение) и тип распределения.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Запуск итераций (Computer Iterations):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Специализированное ПО (например, @Risk, Crystal Ball или Python-скрипты) производит от </w:t>
      </w:r>
      <m:oMath>
        <m:r>
          <w:rPr>
            <w:rFonts w:ascii="Arial" w:cs="Arial" w:eastAsia="Arial" w:hAnsi="Arial"/>
            <w:color w:val="1f1f1f"/>
          </w:rPr>
          <m:t xml:space="preserve">10000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 </w:t>
      </w:r>
      <m:oMath>
        <m:r>
          <w:rPr>
            <w:rFonts w:ascii="Arial" w:cs="Arial" w:eastAsia="Arial" w:hAnsi="Arial"/>
            <w:color w:val="1f1f1f"/>
          </w:rPr>
          <m:t xml:space="preserve">100000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случайных запусков модели, каждый раз выбирая случайные значения факторов в заданных диапазонах.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выходного распределения: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 выходе формируется не одно число, а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кумулятивное распределение вероятностей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итогового результата.</w:t>
      </w:r>
    </w:p>
    <w:p w:rsidR="00000000" w:rsidDel="00000000" w:rsidP="00000000" w:rsidRDefault="00000000" w:rsidRPr="00000000" w14:paraId="0000004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5.3. Ключевые метрики на выходе модели Монте-Карло: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Вероятность убытка (Probability of Loss):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Точный процент итераций, при которых </w:t>
      </w:r>
      <m:oMath>
        <m:r>
          <w:rPr>
            <w:rFonts w:ascii="Arial" w:cs="Arial" w:eastAsia="Arial" w:hAnsi="Arial"/>
            <w:color w:val="1f1f1f"/>
          </w:rPr>
          <m:t xml:space="preserve">NPV&lt;0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Value at Risk (VaR):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Максимальная ожидаемая потеря с заданным уровнем доверия (например, с вероятностью $95\%$) за определенный период.</w:t>
      </w:r>
    </w:p>
    <w:p w:rsidR="00000000" w:rsidDel="00000000" w:rsidP="00000000" w:rsidRDefault="00000000" w:rsidRPr="00000000" w14:paraId="0000005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Сравнительный анализ методов количественного анализа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Метод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Трудоемкость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Учет неопределенности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Главное ограничение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Анализ чувствительности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Низкая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Одно измерение за раз (детерминировано)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Не учитывает вероятности изменения факторов и их корреляцию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Анализ сценариев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Средняя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Комплексная (3–5 дискретных точек)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Ограничен фиксированным набором сценариев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Моделирование Монте-Карло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Высокая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Непрерывное вероятностное поле (тысячи итераций)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Требует специализированного ПО и высокой квалификации аналитиков</w:t>
            </w:r>
          </w:p>
        </w:tc>
      </w:tr>
    </w:tbl>
    <w:p w:rsidR="00000000" w:rsidDel="00000000" w:rsidP="00000000" w:rsidRDefault="00000000" w:rsidRPr="00000000" w14:paraId="0000006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Количественный анализ рисков переводит управление неопределенностью из плоскости интуитивных оценок в строгую математическую дисциплину. Статистические показатели, анализ чувствительности, сценарное планирование и имитационное моделирование Монте-Карло позволяют руководству компании принимать взвешенные финансовые решения, опираясь на вероятностные расчеты и точные метрики риска.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следующей лекции мы перейдем к изучению управления специализированными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Финансовыми рисками (Рыночный и кредитный риски)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где эти математические методы находят свое непосредственное практическое применение.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